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DA96E">
      <w:pPr>
        <w:widowControl w:val="0"/>
        <w:kinsoku/>
        <w:autoSpaceDE/>
        <w:autoSpaceDN/>
        <w:adjustRightInd w:val="0"/>
        <w:snapToGrid w:val="0"/>
        <w:spacing w:before="120" w:beforeLines="50" w:line="240" w:lineRule="auto"/>
        <w:jc w:val="center"/>
        <w:textAlignment w:val="auto"/>
        <w:rPr>
          <w:rFonts w:ascii="Times New Roman" w:hAnsi="Times New Roman" w:eastAsia="方正小标宋_GBK" w:cs="Times New Roman"/>
          <w:b/>
          <w:bCs/>
          <w:snapToGrid/>
          <w:color w:val="auto"/>
          <w:kern w:val="2"/>
          <w:sz w:val="40"/>
          <w:szCs w:val="40"/>
          <w:lang w:eastAsia="zh-CN"/>
        </w:rPr>
      </w:pPr>
    </w:p>
    <w:p w14:paraId="4DD4F863">
      <w:pPr>
        <w:widowControl w:val="0"/>
        <w:kinsoku/>
        <w:autoSpaceDE/>
        <w:autoSpaceDN/>
        <w:adjustRightInd w:val="0"/>
        <w:snapToGrid w:val="0"/>
        <w:spacing w:before="120" w:beforeLines="50" w:line="240" w:lineRule="auto"/>
        <w:jc w:val="center"/>
        <w:textAlignment w:val="auto"/>
        <w:rPr>
          <w:rFonts w:ascii="Times New Roman" w:hAnsi="Times New Roman" w:eastAsia="方正小标宋_GBK" w:cs="Times New Roman"/>
          <w:b/>
          <w:bCs/>
          <w:snapToGrid/>
          <w:color w:val="auto"/>
          <w:kern w:val="2"/>
          <w:sz w:val="40"/>
          <w:szCs w:val="40"/>
          <w:lang w:eastAsia="zh-CN"/>
        </w:rPr>
      </w:pPr>
    </w:p>
    <w:p w14:paraId="5CF74E92">
      <w:pPr>
        <w:widowControl w:val="0"/>
        <w:kinsoku/>
        <w:autoSpaceDE/>
        <w:autoSpaceDN/>
        <w:adjustRightInd w:val="0"/>
        <w:snapToGrid w:val="0"/>
        <w:spacing w:before="120" w:beforeLines="50" w:line="240" w:lineRule="auto"/>
        <w:jc w:val="center"/>
        <w:textAlignment w:val="auto"/>
        <w:rPr>
          <w:rFonts w:ascii="Times New Roman" w:hAnsi="Times New Roman" w:eastAsia="方正小标宋_GBK" w:cs="Times New Roman"/>
          <w:b/>
          <w:bCs/>
          <w:snapToGrid/>
          <w:color w:val="auto"/>
          <w:kern w:val="2"/>
          <w:sz w:val="40"/>
          <w:szCs w:val="40"/>
          <w:lang w:eastAsia="zh-CN"/>
        </w:rPr>
      </w:pPr>
    </w:p>
    <w:p w14:paraId="092D86FA">
      <w:pPr>
        <w:widowControl w:val="0"/>
        <w:kinsoku/>
        <w:autoSpaceDE/>
        <w:autoSpaceDN/>
        <w:adjustRightInd w:val="0"/>
        <w:snapToGrid w:val="0"/>
        <w:spacing w:before="120" w:beforeLines="50" w:line="240" w:lineRule="auto"/>
        <w:jc w:val="center"/>
        <w:textAlignment w:val="auto"/>
        <w:rPr>
          <w:rFonts w:ascii="Times New Roman" w:hAnsi="Times New Roman" w:eastAsia="方正小标宋_GBK" w:cs="Times New Roman"/>
          <w:b/>
          <w:bCs/>
          <w:snapToGrid/>
          <w:color w:val="auto"/>
          <w:kern w:val="2"/>
          <w:sz w:val="40"/>
          <w:szCs w:val="40"/>
          <w:lang w:eastAsia="zh-CN"/>
        </w:rPr>
      </w:pPr>
      <w:r>
        <w:rPr>
          <w:rFonts w:ascii="Times New Roman" w:hAnsi="Times New Roman" w:eastAsia="方正小标宋_GBK" w:cs="Times New Roman"/>
          <w:b/>
          <w:bCs/>
          <w:snapToGrid/>
          <w:color w:val="auto"/>
          <w:kern w:val="2"/>
          <w:sz w:val="40"/>
          <w:szCs w:val="40"/>
          <w:lang w:eastAsia="zh-CN"/>
        </w:rPr>
        <w:t>关于对《和硕县国凯新型建材有限公司</w:t>
      </w:r>
      <w:r>
        <w:rPr>
          <w:rFonts w:hint="eastAsia" w:ascii="Times New Roman" w:hAnsi="Times New Roman" w:eastAsia="方正小标宋_GBK" w:cs="Times New Roman"/>
          <w:b/>
          <w:bCs/>
          <w:snapToGrid/>
          <w:color w:val="auto"/>
          <w:kern w:val="2"/>
          <w:sz w:val="40"/>
          <w:szCs w:val="40"/>
          <w:lang w:eastAsia="zh-CN"/>
        </w:rPr>
        <w:t>新疆和硕县乌什塔拉建筑用砂2号矿</w:t>
      </w:r>
      <w:r>
        <w:rPr>
          <w:rFonts w:ascii="Times New Roman" w:hAnsi="Times New Roman" w:eastAsia="方正小标宋_GBK" w:cs="Times New Roman"/>
          <w:b/>
          <w:bCs/>
          <w:snapToGrid/>
          <w:color w:val="auto"/>
          <w:kern w:val="2"/>
          <w:sz w:val="40"/>
          <w:szCs w:val="40"/>
          <w:lang w:eastAsia="zh-CN"/>
        </w:rPr>
        <w:t>矿产资源开发利用与生态保护修复方案》</w:t>
      </w:r>
    </w:p>
    <w:p w14:paraId="33442A76">
      <w:pPr>
        <w:widowControl w:val="0"/>
        <w:kinsoku/>
        <w:autoSpaceDE/>
        <w:autoSpaceDN/>
        <w:adjustRightInd w:val="0"/>
        <w:snapToGrid w:val="0"/>
        <w:spacing w:before="120" w:beforeLines="50" w:line="240" w:lineRule="auto"/>
        <w:jc w:val="center"/>
        <w:textAlignment w:val="auto"/>
        <w:rPr>
          <w:rFonts w:ascii="Times New Roman" w:hAnsi="Times New Roman" w:eastAsia="方正小标宋_GBK" w:cs="Times New Roman"/>
          <w:b/>
          <w:bCs/>
          <w:snapToGrid/>
          <w:color w:val="auto"/>
          <w:kern w:val="2"/>
          <w:sz w:val="40"/>
          <w:szCs w:val="40"/>
          <w:lang w:eastAsia="zh-CN"/>
        </w:rPr>
      </w:pPr>
    </w:p>
    <w:p w14:paraId="673C856A">
      <w:pPr>
        <w:widowControl w:val="0"/>
        <w:kinsoku/>
        <w:autoSpaceDE/>
        <w:autoSpaceDN/>
        <w:adjustRightInd w:val="0"/>
        <w:snapToGrid w:val="0"/>
        <w:spacing w:before="120" w:beforeLines="50" w:line="240" w:lineRule="auto"/>
        <w:jc w:val="center"/>
        <w:textAlignment w:val="auto"/>
        <w:rPr>
          <w:rFonts w:ascii="Times New Roman" w:hAnsi="Times New Roman" w:eastAsia="方正小标宋_GBK" w:cs="Times New Roman"/>
          <w:b/>
          <w:bCs/>
          <w:snapToGrid/>
          <w:color w:val="auto"/>
          <w:kern w:val="2"/>
          <w:sz w:val="40"/>
          <w:szCs w:val="40"/>
          <w:lang w:eastAsia="zh-CN"/>
        </w:rPr>
      </w:pPr>
      <w:r>
        <w:rPr>
          <w:rFonts w:ascii="Times New Roman" w:hAnsi="Times New Roman" w:eastAsia="方正小标宋_GBK" w:cs="Times New Roman"/>
          <w:b/>
          <w:bCs/>
          <w:snapToGrid/>
          <w:color w:val="auto"/>
          <w:kern w:val="2"/>
          <w:sz w:val="40"/>
          <w:szCs w:val="40"/>
          <w:lang w:eastAsia="zh-CN"/>
        </w:rPr>
        <w:t>专家意见的认定</w:t>
      </w:r>
    </w:p>
    <w:p w14:paraId="52432FB9">
      <w:pPr>
        <w:pStyle w:val="3"/>
        <w:spacing w:line="277" w:lineRule="auto"/>
      </w:pPr>
    </w:p>
    <w:p w14:paraId="3A39E010">
      <w:pPr>
        <w:pStyle w:val="3"/>
        <w:spacing w:line="241" w:lineRule="auto"/>
      </w:pPr>
    </w:p>
    <w:p w14:paraId="6F096F05">
      <w:pPr>
        <w:pStyle w:val="3"/>
        <w:spacing w:line="241" w:lineRule="auto"/>
      </w:pPr>
    </w:p>
    <w:p w14:paraId="1470CEAD">
      <w:pPr>
        <w:pStyle w:val="3"/>
        <w:spacing w:line="241" w:lineRule="auto"/>
      </w:pPr>
    </w:p>
    <w:p w14:paraId="4D99215B">
      <w:pPr>
        <w:pStyle w:val="3"/>
        <w:spacing w:line="241" w:lineRule="auto"/>
      </w:pPr>
    </w:p>
    <w:p w14:paraId="71011329">
      <w:pPr>
        <w:pStyle w:val="3"/>
        <w:spacing w:line="241" w:lineRule="auto"/>
      </w:pPr>
    </w:p>
    <w:p w14:paraId="65475710">
      <w:pPr>
        <w:pStyle w:val="3"/>
        <w:spacing w:line="241" w:lineRule="auto"/>
      </w:pPr>
    </w:p>
    <w:p w14:paraId="56BC08A3">
      <w:pPr>
        <w:pStyle w:val="3"/>
        <w:spacing w:line="241" w:lineRule="auto"/>
      </w:pPr>
    </w:p>
    <w:p w14:paraId="2FF73CC3">
      <w:pPr>
        <w:pStyle w:val="3"/>
        <w:spacing w:line="241" w:lineRule="auto"/>
      </w:pPr>
    </w:p>
    <w:p w14:paraId="1ECA9091">
      <w:pPr>
        <w:pStyle w:val="3"/>
        <w:spacing w:line="242" w:lineRule="auto"/>
      </w:pPr>
    </w:p>
    <w:p w14:paraId="03C53E8C">
      <w:pPr>
        <w:pStyle w:val="3"/>
        <w:spacing w:line="242" w:lineRule="auto"/>
      </w:pPr>
    </w:p>
    <w:p w14:paraId="5A0C60AA">
      <w:pPr>
        <w:pStyle w:val="3"/>
        <w:spacing w:line="242" w:lineRule="auto"/>
      </w:pPr>
    </w:p>
    <w:p w14:paraId="10608C66">
      <w:pPr>
        <w:pStyle w:val="3"/>
        <w:spacing w:line="242" w:lineRule="auto"/>
      </w:pPr>
    </w:p>
    <w:p w14:paraId="52EAF369">
      <w:pPr>
        <w:pStyle w:val="3"/>
        <w:spacing w:line="242" w:lineRule="auto"/>
      </w:pPr>
    </w:p>
    <w:p w14:paraId="2D39A0E2">
      <w:pPr>
        <w:pStyle w:val="3"/>
        <w:spacing w:line="242" w:lineRule="auto"/>
      </w:pPr>
    </w:p>
    <w:p w14:paraId="530C066A">
      <w:pPr>
        <w:pStyle w:val="3"/>
        <w:spacing w:line="242" w:lineRule="auto"/>
      </w:pPr>
    </w:p>
    <w:p w14:paraId="2A904DC3">
      <w:pPr>
        <w:pStyle w:val="3"/>
        <w:spacing w:line="242" w:lineRule="auto"/>
      </w:pPr>
    </w:p>
    <w:p w14:paraId="139FB658">
      <w:pPr>
        <w:pStyle w:val="3"/>
        <w:spacing w:line="242" w:lineRule="auto"/>
      </w:pPr>
    </w:p>
    <w:p w14:paraId="69B6A3F7">
      <w:pPr>
        <w:pStyle w:val="3"/>
        <w:spacing w:line="242" w:lineRule="auto"/>
      </w:pPr>
    </w:p>
    <w:p w14:paraId="6400514A">
      <w:pPr>
        <w:pStyle w:val="3"/>
        <w:spacing w:line="242" w:lineRule="auto"/>
      </w:pPr>
    </w:p>
    <w:p w14:paraId="2BAE24DB">
      <w:pPr>
        <w:pStyle w:val="3"/>
        <w:spacing w:line="242" w:lineRule="auto"/>
      </w:pPr>
    </w:p>
    <w:p w14:paraId="245A39F0">
      <w:pPr>
        <w:pStyle w:val="3"/>
        <w:spacing w:line="242" w:lineRule="auto"/>
      </w:pPr>
    </w:p>
    <w:p w14:paraId="16792793">
      <w:pPr>
        <w:pStyle w:val="3"/>
        <w:spacing w:line="242" w:lineRule="auto"/>
      </w:pPr>
    </w:p>
    <w:p w14:paraId="63A475E0">
      <w:pPr>
        <w:pStyle w:val="3"/>
        <w:spacing w:line="242" w:lineRule="auto"/>
      </w:pPr>
    </w:p>
    <w:p w14:paraId="53E40AB2">
      <w:pPr>
        <w:pStyle w:val="3"/>
        <w:spacing w:line="242" w:lineRule="auto"/>
      </w:pPr>
    </w:p>
    <w:p w14:paraId="33A29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方正小标宋_GBK" w:cs="Times New Roman"/>
          <w:snapToGrid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napToGrid/>
          <w:color w:val="auto"/>
          <w:kern w:val="2"/>
          <w:sz w:val="32"/>
          <w:szCs w:val="24"/>
          <w:lang w:val="en-US" w:eastAsia="zh-CN"/>
        </w:rPr>
        <w:t>二○二五年四月十六日</w:t>
      </w:r>
    </w:p>
    <w:p w14:paraId="49579F6A">
      <w:pPr>
        <w:pStyle w:val="3"/>
        <w:spacing w:line="256" w:lineRule="auto"/>
      </w:pPr>
    </w:p>
    <w:p w14:paraId="2F0EC29C">
      <w:pPr>
        <w:pStyle w:val="3"/>
        <w:spacing w:line="256" w:lineRule="auto"/>
      </w:pPr>
    </w:p>
    <w:p w14:paraId="73E4B5AA">
      <w:pPr>
        <w:pStyle w:val="3"/>
        <w:spacing w:line="256" w:lineRule="auto"/>
      </w:pPr>
    </w:p>
    <w:p w14:paraId="31D1DC2C">
      <w:pPr>
        <w:pStyle w:val="3"/>
        <w:spacing w:line="256" w:lineRule="auto"/>
        <w:sectPr>
          <w:pgSz w:w="12053" w:h="16940"/>
          <w:pgMar w:top="1417" w:right="1417" w:bottom="1417" w:left="1701" w:header="850" w:footer="992" w:gutter="0"/>
          <w:cols w:space="0" w:num="1"/>
          <w:rtlGutter w:val="0"/>
          <w:docGrid w:linePitch="0" w:charSpace="0"/>
        </w:sectPr>
      </w:pPr>
    </w:p>
    <w:p w14:paraId="734655B0">
      <w:pPr>
        <w:pStyle w:val="3"/>
        <w:spacing w:line="256" w:lineRule="auto"/>
      </w:pPr>
    </w:p>
    <w:p w14:paraId="10B51930">
      <w:pPr>
        <w:pStyle w:val="3"/>
        <w:spacing w:line="256" w:lineRule="auto"/>
      </w:pPr>
    </w:p>
    <w:p w14:paraId="2AE22CEE">
      <w:pPr>
        <w:pStyle w:val="3"/>
        <w:spacing w:line="247" w:lineRule="auto"/>
      </w:pPr>
    </w:p>
    <w:p w14:paraId="5D98A7B3">
      <w:pPr>
        <w:pStyle w:val="3"/>
        <w:spacing w:line="248" w:lineRule="auto"/>
      </w:pPr>
    </w:p>
    <w:p w14:paraId="5300E8F4">
      <w:pPr>
        <w:pStyle w:val="3"/>
        <w:spacing w:line="248" w:lineRule="auto"/>
      </w:pPr>
    </w:p>
    <w:p w14:paraId="725EAC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送审单位：和硕县国凯新型建材有限公司</w:t>
      </w:r>
    </w:p>
    <w:p w14:paraId="47531C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编制单位：新疆维吾尔自治区地质局巴音郭楞地质大队</w:t>
      </w:r>
    </w:p>
    <w:p w14:paraId="700D67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</w:p>
    <w:p w14:paraId="35E5BB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5909945</wp:posOffset>
            </wp:positionH>
            <wp:positionV relativeFrom="paragraph">
              <wp:posOffset>317500</wp:posOffset>
            </wp:positionV>
            <wp:extent cx="44450" cy="7937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56" cy="79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项目负责人：吴春伟</w:t>
      </w:r>
    </w:p>
    <w:p w14:paraId="68391F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编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制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 xml:space="preserve">人员：吴春伟 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 xml:space="preserve">王超 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杨海英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杨文臣</w:t>
      </w:r>
    </w:p>
    <w:p w14:paraId="5D063A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评审专家组长：蒋显忠</w:t>
      </w:r>
    </w:p>
    <w:p w14:paraId="636625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评审专家组成员：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苏潇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 xml:space="preserve"> 冯军江</w:t>
      </w:r>
    </w:p>
    <w:p w14:paraId="6E8088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</w:p>
    <w:p w14:paraId="1332CF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认定单位：和硕县自然资源局</w:t>
      </w:r>
    </w:p>
    <w:p w14:paraId="67E243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评审方式：会审</w:t>
      </w:r>
    </w:p>
    <w:p w14:paraId="51F1B5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评审时间：202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日</w:t>
      </w:r>
    </w:p>
    <w:p w14:paraId="7B9713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</w:p>
    <w:p w14:paraId="5EE69750"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adjustRightInd/>
        <w:snapToGrid/>
        <w:spacing w:line="241" w:lineRule="auto"/>
        <w:ind w:firstLine="525" w:firstLineChars="250"/>
      </w:pPr>
    </w:p>
    <w:p w14:paraId="0AA2161B">
      <w:pPr>
        <w:pStyle w:val="3"/>
        <w:spacing w:line="241" w:lineRule="auto"/>
      </w:pPr>
    </w:p>
    <w:p w14:paraId="2F260D0B">
      <w:pPr>
        <w:pStyle w:val="3"/>
        <w:spacing w:line="241" w:lineRule="auto"/>
      </w:pPr>
    </w:p>
    <w:p w14:paraId="4E2E4227">
      <w:pPr>
        <w:pStyle w:val="3"/>
        <w:spacing w:line="241" w:lineRule="auto"/>
      </w:pPr>
    </w:p>
    <w:p w14:paraId="3B6C50A7">
      <w:pPr>
        <w:pStyle w:val="3"/>
        <w:spacing w:line="241" w:lineRule="auto"/>
      </w:pPr>
    </w:p>
    <w:p w14:paraId="3E1ED44F">
      <w:pPr>
        <w:pStyle w:val="3"/>
        <w:spacing w:line="242" w:lineRule="auto"/>
      </w:pPr>
    </w:p>
    <w:p w14:paraId="71E864BD">
      <w:pPr>
        <w:pStyle w:val="3"/>
        <w:spacing w:line="242" w:lineRule="auto"/>
      </w:pPr>
    </w:p>
    <w:p w14:paraId="4C065254">
      <w:pPr>
        <w:pStyle w:val="3"/>
        <w:spacing w:line="242" w:lineRule="auto"/>
      </w:pPr>
    </w:p>
    <w:p w14:paraId="083AC16F">
      <w:pPr>
        <w:pStyle w:val="3"/>
        <w:spacing w:line="242" w:lineRule="auto"/>
      </w:pPr>
    </w:p>
    <w:p w14:paraId="3C8AD13B">
      <w:pPr>
        <w:pStyle w:val="3"/>
        <w:spacing w:line="242" w:lineRule="auto"/>
      </w:pPr>
    </w:p>
    <w:p w14:paraId="3ADB52C1">
      <w:pPr>
        <w:pStyle w:val="3"/>
        <w:spacing w:line="242" w:lineRule="auto"/>
      </w:pPr>
    </w:p>
    <w:p w14:paraId="7D3EB7B6">
      <w:pPr>
        <w:pStyle w:val="3"/>
        <w:spacing w:line="242" w:lineRule="auto"/>
      </w:pPr>
    </w:p>
    <w:p w14:paraId="343885AF">
      <w:pPr>
        <w:spacing w:before="1" w:line="2290" w:lineRule="exact"/>
        <w:ind w:firstLine="3152"/>
      </w:pPr>
    </w:p>
    <w:p w14:paraId="50F32F49">
      <w:pPr>
        <w:pStyle w:val="3"/>
        <w:spacing w:line="354" w:lineRule="auto"/>
      </w:pPr>
    </w:p>
    <w:p w14:paraId="4399D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</w:p>
    <w:p w14:paraId="796CD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sectPr>
          <w:footerReference r:id="rId5" w:type="default"/>
          <w:pgSz w:w="12053" w:h="16940"/>
          <w:pgMar w:top="1417" w:right="1417" w:bottom="1417" w:left="1701" w:header="850" w:footer="992" w:gutter="0"/>
          <w:pgNumType w:start="1"/>
          <w:cols w:space="0" w:num="1"/>
          <w:rtlGutter w:val="0"/>
          <w:docGrid w:linePitch="0" w:charSpace="0"/>
        </w:sectPr>
      </w:pPr>
    </w:p>
    <w:p w14:paraId="0D0E0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202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年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月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日，和硕县自然资源局依据《原国土资源部办公厅关于加强对矿产资源开发利用方案审查的通知》(国土资发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[1999]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98号)、《国土资源部办公厅关于做好矿山地质环境保护与土地复垦 方案编报有关工作的通知》(国土资规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[2016]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21号)、《关于进一步推进和完善矿产资源管理有关工作的通知》(新自然资规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[2021]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3号文)等文件规定，邀请相关专业专家，组成专家评审组，对和硕县国凯新型建材有限公司提交，由新疆维吾尔自治区地质局巴音郭楞地质大队编制的《和硕县国凯新型建材有限公司新疆和硕县乌什塔拉建筑用砂2号矿矿产资源开发利用与生态保护修复方案》采取函审方式进行了认真全面的审查，形成以下评审意见：</w:t>
      </w:r>
    </w:p>
    <w:p w14:paraId="201E2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  <w:lang w:eastAsia="zh-CN"/>
        </w:rPr>
        <w:t>一、矿山简介</w:t>
      </w:r>
    </w:p>
    <w:p w14:paraId="74922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新疆和硕县乌什塔拉建筑用砂2号矿位于新疆和硕县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东88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°方向，直线距离约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千米处，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位于乌什塔拉乡北西326°方向，直线距离约7千米处，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矿区中心地理坐标（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CGCS2000坐标系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）：东经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* 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* 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* 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″，北纬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* 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* 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* 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″。行政区划隶属于和硕县管辖。</w:t>
      </w:r>
    </w:p>
    <w:p w14:paraId="5F1ED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本次矿区范围由和硕县自然资源局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划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定，由新疆维吾尔自治区地质局巴音郭楞地质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大队完成矿区地形测量。该矿区建筑用砂矿无采矿权争议区。拟申请的矿区范围长约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m,宽约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m,拟批准的矿区范围面积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0.3453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平方千米。由4个拐点圈定。根据开发利用方案，矿山拟建设规模为10万立方米/年。开采最终边坡角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°;设计开采标高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* 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～+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* 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 xml:space="preserve"> 。(表1)。</w:t>
      </w:r>
    </w:p>
    <w:p w14:paraId="70873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center"/>
        <w:textAlignment w:val="auto"/>
        <w:rPr>
          <w:rFonts w:hint="default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  <w:lang w:eastAsia="zh-CN"/>
        </w:rPr>
        <w:t>表1 矿区范围拐点坐标（CGCS2000</w:t>
      </w:r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  <w:lang w:val="en-US" w:eastAsia="zh-CN"/>
        </w:rPr>
        <w:t>坐标系）</w:t>
      </w:r>
    </w:p>
    <w:tbl>
      <w:tblPr>
        <w:tblStyle w:val="8"/>
        <w:tblW w:w="498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559"/>
        <w:gridCol w:w="1700"/>
        <w:gridCol w:w="2120"/>
        <w:gridCol w:w="2211"/>
        <w:gridCol w:w="887"/>
      </w:tblGrid>
      <w:tr w14:paraId="0588A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47" w:type="pct"/>
            <w:vMerge w:val="restart"/>
            <w:tcBorders>
              <w:bottom w:val="nil"/>
            </w:tcBorders>
            <w:vAlign w:val="center"/>
          </w:tcPr>
          <w:p w14:paraId="609C3C6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8"/>
                <w:szCs w:val="28"/>
              </w:rPr>
              <w:t>拐</w:t>
            </w:r>
          </w:p>
          <w:p w14:paraId="299FB1F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8"/>
                <w:szCs w:val="28"/>
              </w:rPr>
              <w:t>点</w:t>
            </w:r>
          </w:p>
        </w:tc>
        <w:tc>
          <w:tcPr>
            <w:tcW w:w="1826" w:type="pct"/>
            <w:gridSpan w:val="2"/>
            <w:vAlign w:val="center"/>
          </w:tcPr>
          <w:p w14:paraId="0C891D6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8"/>
                <w:szCs w:val="28"/>
              </w:rPr>
              <w:t>平面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8"/>
                <w:szCs w:val="28"/>
                <w:lang w:val="en-US" w:eastAsia="zh-CN"/>
              </w:rPr>
              <w:t>直角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8"/>
                <w:szCs w:val="28"/>
              </w:rPr>
              <w:t>坐标</w:t>
            </w:r>
          </w:p>
        </w:tc>
        <w:tc>
          <w:tcPr>
            <w:tcW w:w="2428" w:type="pct"/>
            <w:gridSpan w:val="2"/>
            <w:vAlign w:val="center"/>
          </w:tcPr>
          <w:p w14:paraId="5F04252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8"/>
                <w:szCs w:val="28"/>
              </w:rPr>
              <w:t>经纬度</w:t>
            </w:r>
          </w:p>
        </w:tc>
        <w:tc>
          <w:tcPr>
            <w:tcW w:w="497" w:type="pct"/>
            <w:vMerge w:val="restart"/>
            <w:tcBorders>
              <w:bottom w:val="nil"/>
            </w:tcBorders>
            <w:vAlign w:val="center"/>
          </w:tcPr>
          <w:p w14:paraId="4845281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8"/>
                <w:szCs w:val="28"/>
              </w:rPr>
              <w:t>面积</w:t>
            </w:r>
          </w:p>
        </w:tc>
      </w:tr>
      <w:tr w14:paraId="42347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47" w:type="pct"/>
            <w:vMerge w:val="continue"/>
            <w:tcBorders>
              <w:top w:val="nil"/>
            </w:tcBorders>
            <w:vAlign w:val="center"/>
          </w:tcPr>
          <w:p w14:paraId="28E798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73" w:type="pct"/>
            <w:vAlign w:val="center"/>
          </w:tcPr>
          <w:p w14:paraId="6FAE33F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X</w:t>
            </w:r>
          </w:p>
        </w:tc>
        <w:tc>
          <w:tcPr>
            <w:tcW w:w="952" w:type="pct"/>
            <w:vAlign w:val="center"/>
          </w:tcPr>
          <w:p w14:paraId="46393CE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Y</w:t>
            </w:r>
          </w:p>
        </w:tc>
        <w:tc>
          <w:tcPr>
            <w:tcW w:w="1188" w:type="pct"/>
            <w:vAlign w:val="center"/>
          </w:tcPr>
          <w:p w14:paraId="7E8C356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6"/>
                <w:sz w:val="28"/>
                <w:szCs w:val="28"/>
              </w:rPr>
              <w:t>东经(E)</w:t>
            </w:r>
          </w:p>
        </w:tc>
        <w:tc>
          <w:tcPr>
            <w:tcW w:w="1239" w:type="pct"/>
            <w:vAlign w:val="center"/>
          </w:tcPr>
          <w:p w14:paraId="681A149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8"/>
                <w:szCs w:val="28"/>
              </w:rPr>
              <w:t>北纬(N)</w:t>
            </w:r>
          </w:p>
        </w:tc>
        <w:tc>
          <w:tcPr>
            <w:tcW w:w="497" w:type="pct"/>
            <w:vMerge w:val="continue"/>
            <w:tcBorders>
              <w:top w:val="nil"/>
            </w:tcBorders>
            <w:vAlign w:val="center"/>
          </w:tcPr>
          <w:p w14:paraId="52FBAA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0A62D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47" w:type="pct"/>
            <w:vAlign w:val="center"/>
          </w:tcPr>
          <w:p w14:paraId="1A74A4F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873" w:type="pct"/>
            <w:vAlign w:val="center"/>
          </w:tcPr>
          <w:p w14:paraId="7A2DBC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* </w:t>
            </w:r>
          </w:p>
        </w:tc>
        <w:tc>
          <w:tcPr>
            <w:tcW w:w="1700" w:type="dxa"/>
            <w:vAlign w:val="center"/>
          </w:tcPr>
          <w:p w14:paraId="5CFB65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* </w:t>
            </w:r>
          </w:p>
        </w:tc>
        <w:tc>
          <w:tcPr>
            <w:tcW w:w="2120" w:type="dxa"/>
            <w:vAlign w:val="center"/>
          </w:tcPr>
          <w:p w14:paraId="6B03AB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* </w:t>
            </w:r>
          </w:p>
        </w:tc>
        <w:tc>
          <w:tcPr>
            <w:tcW w:w="2211" w:type="dxa"/>
            <w:vAlign w:val="center"/>
          </w:tcPr>
          <w:p w14:paraId="77596E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* </w:t>
            </w:r>
          </w:p>
        </w:tc>
        <w:tc>
          <w:tcPr>
            <w:tcW w:w="497" w:type="pct"/>
            <w:vMerge w:val="restart"/>
            <w:tcBorders>
              <w:bottom w:val="nil"/>
            </w:tcBorders>
            <w:vAlign w:val="center"/>
          </w:tcPr>
          <w:p w14:paraId="54BD22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60EC87A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0.3453</w:t>
            </w:r>
          </w:p>
          <w:p w14:paraId="593BF1C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30"/>
                <w:szCs w:val="30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30"/>
                <w:szCs w:val="30"/>
                <w:vertAlign w:val="superscript"/>
                <w:lang w:val="en-US" w:eastAsia="zh-CN"/>
              </w:rPr>
              <w:t>2</w:t>
            </w:r>
          </w:p>
        </w:tc>
      </w:tr>
      <w:tr w14:paraId="74D3F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247" w:type="pct"/>
            <w:vAlign w:val="center"/>
          </w:tcPr>
          <w:p w14:paraId="772193A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873" w:type="pct"/>
            <w:vAlign w:val="center"/>
          </w:tcPr>
          <w:p w14:paraId="279595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* </w:t>
            </w:r>
          </w:p>
        </w:tc>
        <w:tc>
          <w:tcPr>
            <w:tcW w:w="1700" w:type="dxa"/>
            <w:vAlign w:val="center"/>
          </w:tcPr>
          <w:p w14:paraId="7C7AC9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* </w:t>
            </w:r>
          </w:p>
        </w:tc>
        <w:tc>
          <w:tcPr>
            <w:tcW w:w="2120" w:type="dxa"/>
            <w:vAlign w:val="center"/>
          </w:tcPr>
          <w:p w14:paraId="4D6D5A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* </w:t>
            </w:r>
          </w:p>
        </w:tc>
        <w:tc>
          <w:tcPr>
            <w:tcW w:w="2211" w:type="dxa"/>
            <w:vAlign w:val="center"/>
          </w:tcPr>
          <w:p w14:paraId="063D79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* </w:t>
            </w:r>
          </w:p>
        </w:tc>
        <w:tc>
          <w:tcPr>
            <w:tcW w:w="497" w:type="pct"/>
            <w:vMerge w:val="continue"/>
            <w:tcBorders>
              <w:top w:val="nil"/>
              <w:bottom w:val="nil"/>
            </w:tcBorders>
            <w:vAlign w:val="center"/>
          </w:tcPr>
          <w:p w14:paraId="4CB670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0F491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47" w:type="pct"/>
            <w:vAlign w:val="center"/>
          </w:tcPr>
          <w:p w14:paraId="0247767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873" w:type="pct"/>
            <w:vAlign w:val="center"/>
          </w:tcPr>
          <w:p w14:paraId="26667B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* </w:t>
            </w:r>
          </w:p>
        </w:tc>
        <w:tc>
          <w:tcPr>
            <w:tcW w:w="1700" w:type="dxa"/>
            <w:vAlign w:val="center"/>
          </w:tcPr>
          <w:p w14:paraId="1A8A6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* </w:t>
            </w:r>
          </w:p>
        </w:tc>
        <w:tc>
          <w:tcPr>
            <w:tcW w:w="2120" w:type="dxa"/>
            <w:vAlign w:val="center"/>
          </w:tcPr>
          <w:p w14:paraId="010145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* </w:t>
            </w:r>
          </w:p>
        </w:tc>
        <w:tc>
          <w:tcPr>
            <w:tcW w:w="2211" w:type="dxa"/>
            <w:vAlign w:val="center"/>
          </w:tcPr>
          <w:p w14:paraId="46B229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* </w:t>
            </w:r>
          </w:p>
        </w:tc>
        <w:tc>
          <w:tcPr>
            <w:tcW w:w="497" w:type="pct"/>
            <w:vMerge w:val="continue"/>
            <w:tcBorders>
              <w:top w:val="nil"/>
              <w:bottom w:val="nil"/>
            </w:tcBorders>
            <w:vAlign w:val="center"/>
          </w:tcPr>
          <w:p w14:paraId="1C53AC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37082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247" w:type="pct"/>
            <w:vAlign w:val="center"/>
          </w:tcPr>
          <w:p w14:paraId="52187CD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873" w:type="pct"/>
            <w:vAlign w:val="center"/>
          </w:tcPr>
          <w:p w14:paraId="75F616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* </w:t>
            </w:r>
          </w:p>
        </w:tc>
        <w:tc>
          <w:tcPr>
            <w:tcW w:w="1700" w:type="dxa"/>
            <w:vAlign w:val="center"/>
          </w:tcPr>
          <w:p w14:paraId="33C00C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* </w:t>
            </w:r>
          </w:p>
        </w:tc>
        <w:tc>
          <w:tcPr>
            <w:tcW w:w="2120" w:type="dxa"/>
            <w:vAlign w:val="center"/>
          </w:tcPr>
          <w:p w14:paraId="7F4148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* </w:t>
            </w:r>
          </w:p>
        </w:tc>
        <w:tc>
          <w:tcPr>
            <w:tcW w:w="2211" w:type="dxa"/>
            <w:vAlign w:val="center"/>
          </w:tcPr>
          <w:p w14:paraId="082CA5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* </w:t>
            </w:r>
          </w:p>
        </w:tc>
        <w:tc>
          <w:tcPr>
            <w:tcW w:w="497" w:type="pct"/>
            <w:vMerge w:val="continue"/>
            <w:tcBorders>
              <w:top w:val="nil"/>
            </w:tcBorders>
            <w:vAlign w:val="center"/>
          </w:tcPr>
          <w:p w14:paraId="0EE336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</w:tbl>
    <w:p w14:paraId="617BF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  <w:lang w:eastAsia="zh-CN"/>
        </w:rPr>
        <w:t>二、野外地质调查完成主要工作量</w:t>
      </w:r>
    </w:p>
    <w:p w14:paraId="66459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野外实地调查面积0.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平方千米，野外调查点20个，调查路线 1条，长2.46千米。完成的工作量基本满足方案编写的要求。</w:t>
      </w:r>
    </w:p>
    <w:p w14:paraId="3DE4E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  <w:lang w:eastAsia="zh-CN"/>
        </w:rPr>
        <w:t>三、开发利用方案</w:t>
      </w:r>
    </w:p>
    <w:p w14:paraId="17C5A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  <w:lang w:val="en-US" w:eastAsia="zh-CN"/>
        </w:rPr>
        <w:t>(1)</w:t>
      </w:r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  <w:lang w:eastAsia="zh-CN"/>
        </w:rPr>
        <w:t>《方案》简介</w:t>
      </w:r>
    </w:p>
    <w:p w14:paraId="696FF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1、设计利用资源量</w:t>
      </w:r>
    </w:p>
    <w:p w14:paraId="699F4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依据202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年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月新疆维吾尔自治区地质局巴音郭楞地质大队编制的《新疆和硕县乌什塔拉建筑用砂2号矿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详查报告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》及其评审意见书(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硕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自然资储评[202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]0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号),矿区内查明建筑用砂矿推断资源量 (TD)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60.89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万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。设计开采境界内矿石量(推断资源量)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60.89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万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,   设计利用率100.00%。</w:t>
      </w:r>
    </w:p>
    <w:p w14:paraId="3F42B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2、矿体特征</w:t>
      </w:r>
    </w:p>
    <w:p w14:paraId="6059B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矿体赋存于第四系更新统-全新统(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Q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vertAlign w:val="subscript"/>
          <w:lang w:val="en-US" w:eastAsia="zh-CN"/>
        </w:rPr>
        <w:t>3-4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pl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)冲洪积物中，地表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覆盖层平均厚度1.20米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，砂砾石层(矿体)磨圆度较好，多呈次圆状，分选性好。主要由灰色、青灰色砾石、粗砂组成。矿区内已控制可采矿层厚度1.8m,砾石砾径一般约0.15-40cm。目前矿区范围内均为砂砾石矿层，矿层向四周均延伸至矿区外。</w:t>
      </w:r>
    </w:p>
    <w:p w14:paraId="695AE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3、设计方案</w:t>
      </w:r>
    </w:p>
    <w:p w14:paraId="7FEE9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建设规模：设计生产规模为10万立方米/年原矿。</w:t>
      </w:r>
    </w:p>
    <w:p w14:paraId="5AB55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产品方案：推荐产品方案为矿石粒径0.15～0.5mm、0.5～5mm、 5～20mm、20～40mm四个粒级的建筑用砂石料。</w:t>
      </w:r>
    </w:p>
    <w:p w14:paraId="06143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开采方式：设计采用露天凹陷方式开采。</w:t>
      </w:r>
    </w:p>
    <w:p w14:paraId="739AF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开拓运输方案：设计采用公路开拓-汽车运输方案。</w:t>
      </w:r>
    </w:p>
    <w:p w14:paraId="05A7C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采矿方法：根据矿山地形地质条件、矿体赋存特征，设计采用 缓倾斜一次采全高方法，设计采矿回采率为95%。</w:t>
      </w:r>
    </w:p>
    <w:p w14:paraId="03ABE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矿山服务年限：5.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年(6年)。</w:t>
      </w:r>
    </w:p>
    <w:p w14:paraId="38625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  <w:lang w:eastAsia="zh-CN"/>
        </w:rPr>
        <w:t>(2)主要审查意见</w:t>
      </w:r>
    </w:p>
    <w:p w14:paraId="60CE9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1、该矿属于中型矿山，《方案》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新疆维吾尔自治区地质局巴音郭楞地质大队编写，章节齐全，内容全面，基本上达到矿产资源开发利用方案编写要求。</w:t>
      </w:r>
    </w:p>
    <w:p w14:paraId="1218B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2、《方案》编制依据地质资料为202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年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月新疆维吾尔自治区地质局巴音郭楞地质大队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编写的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《新疆和硕县乌什塔拉建筑用砂2号矿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详查报告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》及其评审意见书(硕自然资储评[202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]01号),该报告已经通过评审，地质资料能够满足开发利用方案设计要求。</w:t>
      </w:r>
    </w:p>
    <w:p w14:paraId="11E37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3、依据市场需求、矿床规模及开采条件，矿山建设规模10万 立方米/年，矿山服务年限5.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年(6年),建设规模与矿床规模及矿 山服务年限基本匹配。</w:t>
      </w:r>
    </w:p>
    <w:p w14:paraId="0A9F7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4、《方案》根据各矿体的赋存特征，采用露天凹陷方式开采， 采用公路开拓-汽车运输方案，开拓方式、采矿方法符合矿山实际， 合理可行。设计的采矿回采率95.00%,指标适宜，基本达到合理利 用资源目的。</w:t>
      </w:r>
    </w:p>
    <w:p w14:paraId="1F0DE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5、开采工艺参数及采场要素齐全，主要采矿设备型号规格及数 量选择合理。</w:t>
      </w:r>
    </w:p>
    <w:p w14:paraId="3E9B7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6、制定的矿山安全、绿色矿山建设及环境保护措施基本可行。</w:t>
      </w:r>
    </w:p>
    <w:p w14:paraId="559BC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7、附图及附件齐全。</w:t>
      </w:r>
    </w:p>
    <w:p w14:paraId="22721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8、确定的产品方案符合实际。</w:t>
      </w:r>
    </w:p>
    <w:p w14:paraId="0F42C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  <w:lang w:eastAsia="zh-CN"/>
        </w:rPr>
        <w:t>四、矿山地质环境影响现状评估</w:t>
      </w:r>
    </w:p>
    <w:p w14:paraId="70923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现状条件下将评估区内矿山地质环境影响现状评估划分1个分区。</w:t>
      </w:r>
    </w:p>
    <w:p w14:paraId="7B964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较轻区：面积41.00公顷，评估区内现状地质灾害不发育，矿业 活动对地形地貌、水土环境、含水层影响或破坏程度较轻。</w:t>
      </w:r>
    </w:p>
    <w:p w14:paraId="44871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矿山地质环境影响现状评估结论基本合理。</w:t>
      </w:r>
    </w:p>
    <w:p w14:paraId="0D14E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  <w:lang w:eastAsia="zh-CN"/>
        </w:rPr>
        <w:t>五、矿山地质环境影响预测评估</w:t>
      </w:r>
    </w:p>
    <w:p w14:paraId="2149B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根据评估区内地质灾害、含水层破坏、地形地貌景观影响等方 面的预测评估结果，考虑各方面影响情况和影响面积的叠加，将评 估区内矿山地质环境影响预测评估划分3个分区，严重区、较严重区与较轻区。</w:t>
      </w:r>
    </w:p>
    <w:p w14:paraId="59575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严重区：面积34.53公顷；包括拟建露天采矿场；预测采矿活动 可能引发露天采矿场地质灾害的可能性小，发育程度弱，危害程度小，危险性小，对地质环境影响程度较轻；对地形地貌景观影响程度严重。</w:t>
      </w:r>
    </w:p>
    <w:p w14:paraId="3F55C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较严重区：面积1.18公顷，包括拟建办公生活区、拟建工业场地、拟建废石堆放场、拟建矿山道路。对地形地貌景观影响程度较严重。</w:t>
      </w:r>
    </w:p>
    <w:p w14:paraId="5576E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较轻区：面积5.29公顷，包括评估区内除严重区、较严重区以外 的其它区域。地质灾害不发育，矿业活动对地形地貌、水土环境、含水层影响或破坏程度较轻，。</w:t>
      </w:r>
    </w:p>
    <w:p w14:paraId="4BEB8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矿山地质环境影响预测评估结论符合实际。</w:t>
      </w:r>
    </w:p>
    <w:p w14:paraId="3793B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  <w:lang w:eastAsia="zh-CN"/>
        </w:rPr>
        <w:t>六、矿山地质环境保护与治理恢复分区</w:t>
      </w:r>
    </w:p>
    <w:p w14:paraId="5E2F0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评估区划分为重点防治区、次重点防治区和一般防治区。</w:t>
      </w:r>
    </w:p>
    <w:p w14:paraId="7F57F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重点防治区面积34.53公顷：地质灾害防治严格按设计留设露天采矿场边坡角及坡面台阶；在露天采矿场外围10米设置铁丝围栏，悬挂警示牌；严格按设计的开采境界采矿，合理控制破坏土地范围， 矿山采用露天凹陷方式开采，最终台阶坡面角为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°。对露天采矿场进行回填，地面进行平整，尽量恢复原有地形地貌景观。</w:t>
      </w:r>
    </w:p>
    <w:p w14:paraId="01EA0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次重点防治区面积1.18公顷：包括拟建废石堆放场、拟建办公 生活区、拟建工业场地、拟建矿山道路等。主要地质环境问题：地 面建筑对地形地貌景观的破坏，压占土地资源。防治措施如下：矿 山生产期间应保护生活区卫生环境，杜绝乱扔垃圾，乱排污物；及 时清运生活垃圾；矿山闭坑后将地面设施全部拆除，对场地表面进 行平整处理，尽量恢复原有地形地貌景观。</w:t>
      </w:r>
    </w:p>
    <w:p w14:paraId="74641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一般防治区包括除重点区、次重点区以外的其他区域，总面积 为5.29公顷。</w:t>
      </w:r>
    </w:p>
    <w:p w14:paraId="6E96B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该区内保持原生地貌景观，采矿活动对该区域地质环境影响程 度较轻。主要防治措施：禁止随意破坏该区域的地质环境，确保评 估区内地质环境保持原有状态。</w:t>
      </w:r>
    </w:p>
    <w:p w14:paraId="1670E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矿山地质环境保护与治理恢复分区基本合理。</w:t>
      </w:r>
    </w:p>
    <w:p w14:paraId="0FF62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  <w:lang w:eastAsia="zh-CN"/>
        </w:rPr>
        <w:t>七、土地复垦方案</w:t>
      </w:r>
    </w:p>
    <w:p w14:paraId="172FB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本方案土地复垦责任范围面积35.71公顷，土地复垦面积35.71公顷，复垦方向为其他草地(0404)和裸土地(1206),复垦率100%。</w:t>
      </w:r>
    </w:p>
    <w:p w14:paraId="76C1E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矿山生产服务期结束后，统一对复垦区进行复垦。本项目复垦 工程设计对象为复垦责任范围，包括“拟建露天采矿场，拟建废石堆放场、拟建办公生活区、拟建工业场地、拟建矿山道路”等区域，面积35.71公顷。土地复垦措施包括回填工程、砌体拆除工程、建筑垃 圾清运、平整工程，露天采矿场内26.83公顷的其他草地还包括覆土工程、植被重建工程。</w:t>
      </w:r>
    </w:p>
    <w:p w14:paraId="24980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在复垦责任范围内设置5个监测点，主要设置在拟建露天采矿 场，拟建废石堆放场、拟建办公生活区、拟建工业场地、拟建矿山 道路，监测措施主要为土地损毁监测、土地复垦效果监测，监测频 率为每年2次。</w:t>
      </w:r>
    </w:p>
    <w:p w14:paraId="3C216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土地复垦方案基本可行。</w:t>
      </w:r>
    </w:p>
    <w:p w14:paraId="6D8E8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  <w:lang w:eastAsia="zh-CN"/>
        </w:rPr>
        <w:t>八、矿山环境保护与综合治理经费估算</w:t>
      </w:r>
    </w:p>
    <w:p w14:paraId="17254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和硕县国凯新型建材有限公司新疆和硕县乌什塔拉建筑用砂2号矿矿山地质环境治理工程静态总投资23.79万元，其中：工程施工费12.68万元，地质环境监测费8.50万元，其他费用1.69万元， 预备费0.92万元。</w:t>
      </w:r>
    </w:p>
    <w:p w14:paraId="66862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土地复垦责任范围38.38公顷。本矿山服务年限土地复垦静态总 投资148.59万元，其中工程施工费124.26万元，监测费用0.66万元， 其他费用16.59万元，预备费7.08万元。</w:t>
      </w:r>
    </w:p>
    <w:p w14:paraId="0D891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服务年限矿山地质环境治理和土地复垦工程动态总投资为 157.96万元，价差预备费为9.37万元。</w:t>
      </w:r>
    </w:p>
    <w:p w14:paraId="1BC28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  <w:lang w:eastAsia="zh-CN"/>
        </w:rPr>
        <w:t>九、方案补充修改和完善</w:t>
      </w:r>
    </w:p>
    <w:p w14:paraId="27D06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1、完善所有表格签字；</w:t>
      </w:r>
    </w:p>
    <w:p w14:paraId="1EDE8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2、加强文字校核。</w:t>
      </w:r>
    </w:p>
    <w:p w14:paraId="499B0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3、加强图面的整饰。</w:t>
      </w:r>
    </w:p>
    <w:p w14:paraId="27B7A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该《方案》达到《矿山地质环境保护与土地复垦方案编制指南》 及相关技术标准的要求，开采方案合理可行，土地利用现状明确、  损毁预测较合理，复垦责任范围全面，复垦可行性分析较合理，提  出的复垦标准适当，工程措施与工程设计基本可行，经费估算与进  度安排基本合理，公众参与和保障措施较完备。</w:t>
      </w:r>
    </w:p>
    <w:p w14:paraId="516BA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</w:p>
    <w:p w14:paraId="0EEC4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二○二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年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月十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t>日</w:t>
      </w:r>
    </w:p>
    <w:p w14:paraId="1DD6A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</w:p>
    <w:p w14:paraId="333C4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</w:p>
    <w:p w14:paraId="4C853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</w:pPr>
    </w:p>
    <w:p w14:paraId="4BE6A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0"/>
          <w:szCs w:val="30"/>
          <w:lang w:eastAsia="zh-CN"/>
        </w:rPr>
        <w:sectPr>
          <w:footerReference r:id="rId6" w:type="default"/>
          <w:pgSz w:w="12053" w:h="16940"/>
          <w:pgMar w:top="1417" w:right="1417" w:bottom="1417" w:left="1701" w:header="850" w:footer="992" w:gutter="0"/>
          <w:pgNumType w:start="1"/>
          <w:cols w:space="0" w:num="1"/>
          <w:rtlGutter w:val="0"/>
          <w:docGrid w:linePitch="0" w:charSpace="0"/>
        </w:sectPr>
      </w:pPr>
    </w:p>
    <w:p w14:paraId="123B0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  <w:lang w:eastAsia="zh-CN"/>
        </w:rPr>
        <w:t>附件1审查专家组成员名单</w:t>
      </w:r>
    </w:p>
    <w:p w14:paraId="0A561A6D">
      <w:pPr>
        <w:pStyle w:val="3"/>
        <w:spacing w:line="268" w:lineRule="auto"/>
      </w:pPr>
    </w:p>
    <w:p w14:paraId="5AEC1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  <w:lang w:eastAsia="zh-CN"/>
        </w:rPr>
        <w:t>《和硕县国凯新型建材有限公司新疆和硕县乌什塔拉建筑用砂2号矿矿矿产资源开发利用与生态保护修复方案》</w:t>
      </w:r>
    </w:p>
    <w:p w14:paraId="719A2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0"/>
          <w:szCs w:val="30"/>
          <w:lang w:eastAsia="zh-CN"/>
        </w:rPr>
        <w:t>评审专家名单</w:t>
      </w:r>
    </w:p>
    <w:p w14:paraId="297277E0">
      <w:pPr>
        <w:spacing w:line="176" w:lineRule="exact"/>
      </w:pPr>
    </w:p>
    <w:tbl>
      <w:tblPr>
        <w:tblStyle w:val="8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072"/>
        <w:gridCol w:w="2916"/>
        <w:gridCol w:w="2753"/>
      </w:tblGrid>
      <w:tr w14:paraId="2D1B2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3" w:hRule="atLeast"/>
        </w:trPr>
        <w:tc>
          <w:tcPr>
            <w:tcW w:w="671" w:type="pct"/>
            <w:vAlign w:val="top"/>
          </w:tcPr>
          <w:p w14:paraId="75289A02">
            <w:pPr>
              <w:pStyle w:val="9"/>
              <w:spacing w:before="255" w:line="240" w:lineRule="auto"/>
              <w:ind w:left="28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30"/>
                <w:szCs w:val="30"/>
              </w:rPr>
              <w:t>姓名</w:t>
            </w:r>
          </w:p>
        </w:tc>
        <w:tc>
          <w:tcPr>
            <w:tcW w:w="1158" w:type="pct"/>
            <w:vAlign w:val="top"/>
          </w:tcPr>
          <w:p w14:paraId="0089C11E">
            <w:pPr>
              <w:pStyle w:val="9"/>
              <w:spacing w:before="256" w:line="24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0"/>
                <w:szCs w:val="30"/>
              </w:rPr>
              <w:t>专业</w:t>
            </w:r>
          </w:p>
        </w:tc>
        <w:tc>
          <w:tcPr>
            <w:tcW w:w="1630" w:type="pct"/>
            <w:vAlign w:val="top"/>
          </w:tcPr>
          <w:p w14:paraId="33A9A8F4">
            <w:pPr>
              <w:pStyle w:val="9"/>
              <w:spacing w:before="258" w:line="240" w:lineRule="auto"/>
              <w:ind w:left="105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职称</w:t>
            </w:r>
          </w:p>
        </w:tc>
        <w:tc>
          <w:tcPr>
            <w:tcW w:w="1539" w:type="pct"/>
            <w:vAlign w:val="top"/>
          </w:tcPr>
          <w:p w14:paraId="1B12A25C">
            <w:pPr>
              <w:pStyle w:val="9"/>
              <w:spacing w:before="255" w:line="240" w:lineRule="auto"/>
              <w:ind w:left="98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0"/>
                <w:szCs w:val="30"/>
              </w:rPr>
              <w:t>签字</w:t>
            </w:r>
          </w:p>
        </w:tc>
      </w:tr>
      <w:tr w14:paraId="01FCF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71" w:type="pct"/>
            <w:vAlign w:val="top"/>
          </w:tcPr>
          <w:p w14:paraId="4A8BAC0B">
            <w:pPr>
              <w:pStyle w:val="9"/>
              <w:spacing w:before="262" w:line="24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0"/>
                <w:szCs w:val="30"/>
              </w:rPr>
              <w:t>蒋显忠</w:t>
            </w:r>
          </w:p>
        </w:tc>
        <w:tc>
          <w:tcPr>
            <w:tcW w:w="1158" w:type="pct"/>
            <w:vAlign w:val="top"/>
          </w:tcPr>
          <w:p w14:paraId="0974AD76">
            <w:pPr>
              <w:pStyle w:val="9"/>
              <w:spacing w:before="265" w:line="24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0"/>
                <w:szCs w:val="30"/>
              </w:rPr>
              <w:t>地环</w:t>
            </w:r>
          </w:p>
        </w:tc>
        <w:tc>
          <w:tcPr>
            <w:tcW w:w="1630" w:type="pct"/>
            <w:vAlign w:val="top"/>
          </w:tcPr>
          <w:p w14:paraId="026C915B">
            <w:pPr>
              <w:pStyle w:val="9"/>
              <w:spacing w:before="262" w:line="240" w:lineRule="auto"/>
              <w:ind w:left="684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0"/>
                <w:szCs w:val="30"/>
              </w:rPr>
              <w:t>高级工程师</w:t>
            </w:r>
          </w:p>
        </w:tc>
        <w:tc>
          <w:tcPr>
            <w:tcW w:w="1539" w:type="pct"/>
            <w:vAlign w:val="top"/>
          </w:tcPr>
          <w:p w14:paraId="576B6E3D">
            <w:pPr>
              <w:spacing w:before="178" w:line="240" w:lineRule="auto"/>
              <w:ind w:firstLine="687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position w:val="-8"/>
              </w:rPr>
              <w:drawing>
                <wp:inline distT="0" distB="0" distL="0" distR="0">
                  <wp:extent cx="616585" cy="269875"/>
                  <wp:effectExtent l="0" t="0" r="12065" b="15875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114" cy="27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D4A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671" w:type="pct"/>
            <w:vAlign w:val="top"/>
          </w:tcPr>
          <w:p w14:paraId="655E2710">
            <w:pPr>
              <w:pStyle w:val="9"/>
              <w:spacing w:before="266" w:line="24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苏潇</w:t>
            </w:r>
          </w:p>
        </w:tc>
        <w:tc>
          <w:tcPr>
            <w:tcW w:w="1158" w:type="pct"/>
            <w:vAlign w:val="top"/>
          </w:tcPr>
          <w:p w14:paraId="7A861B71">
            <w:pPr>
              <w:pStyle w:val="9"/>
              <w:spacing w:before="263" w:line="24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0"/>
                <w:szCs w:val="30"/>
              </w:rPr>
              <w:t>采矿</w:t>
            </w:r>
          </w:p>
        </w:tc>
        <w:tc>
          <w:tcPr>
            <w:tcW w:w="1630" w:type="pct"/>
            <w:vAlign w:val="top"/>
          </w:tcPr>
          <w:p w14:paraId="16E17AB9">
            <w:pPr>
              <w:pStyle w:val="9"/>
              <w:spacing w:before="265" w:line="240" w:lineRule="auto"/>
              <w:ind w:left="684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0"/>
                <w:szCs w:val="30"/>
              </w:rPr>
              <w:t>高级工程师</w:t>
            </w:r>
          </w:p>
        </w:tc>
        <w:tc>
          <w:tcPr>
            <w:tcW w:w="1539" w:type="pct"/>
            <w:vAlign w:val="top"/>
          </w:tcPr>
          <w:p w14:paraId="37F21A95">
            <w:pPr>
              <w:spacing w:before="86" w:line="240" w:lineRule="auto"/>
              <w:ind w:firstLine="675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809625" cy="561975"/>
                  <wp:effectExtent l="0" t="0" r="13335" b="1905"/>
                  <wp:docPr id="1" name="图片 1" descr="1746695435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466954351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E4A7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71" w:type="pct"/>
            <w:vAlign w:val="top"/>
          </w:tcPr>
          <w:p w14:paraId="6CCFE813">
            <w:pPr>
              <w:pStyle w:val="9"/>
              <w:spacing w:before="265" w:line="24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冯军江</w:t>
            </w:r>
          </w:p>
        </w:tc>
        <w:tc>
          <w:tcPr>
            <w:tcW w:w="1158" w:type="pct"/>
            <w:vAlign w:val="top"/>
          </w:tcPr>
          <w:p w14:paraId="47C9076C">
            <w:pPr>
              <w:pStyle w:val="9"/>
              <w:spacing w:before="268" w:line="24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0"/>
                <w:szCs w:val="30"/>
              </w:rPr>
              <w:t>复垦</w:t>
            </w:r>
          </w:p>
        </w:tc>
        <w:tc>
          <w:tcPr>
            <w:tcW w:w="1630" w:type="pct"/>
            <w:vAlign w:val="top"/>
          </w:tcPr>
          <w:p w14:paraId="36587B6A">
            <w:pPr>
              <w:pStyle w:val="9"/>
              <w:spacing w:before="267" w:line="240" w:lineRule="auto"/>
              <w:ind w:left="684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0"/>
                <w:szCs w:val="30"/>
              </w:rPr>
              <w:t>高级工程师</w:t>
            </w:r>
          </w:p>
        </w:tc>
        <w:tc>
          <w:tcPr>
            <w:tcW w:w="1539" w:type="pct"/>
            <w:vAlign w:val="top"/>
          </w:tcPr>
          <w:p w14:paraId="1DEFA05A">
            <w:pPr>
              <w:spacing w:before="175" w:line="240" w:lineRule="auto"/>
              <w:ind w:firstLine="726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position w:val="-9"/>
              </w:rPr>
              <w:drawing>
                <wp:inline distT="0" distB="0" distL="0" distR="0">
                  <wp:extent cx="662305" cy="299720"/>
                  <wp:effectExtent l="0" t="0" r="4445" b="508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725" cy="300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3E237F">
      <w:pPr>
        <w:pStyle w:val="3"/>
        <w:spacing w:line="244" w:lineRule="auto"/>
      </w:pPr>
    </w:p>
    <w:p w14:paraId="3C2D569D">
      <w:pPr>
        <w:pStyle w:val="3"/>
        <w:spacing w:line="244" w:lineRule="auto"/>
      </w:pPr>
    </w:p>
    <w:p w14:paraId="717470A7">
      <w:pPr>
        <w:pStyle w:val="3"/>
        <w:spacing w:line="244" w:lineRule="auto"/>
      </w:pPr>
    </w:p>
    <w:p w14:paraId="4E0193F9">
      <w:pPr>
        <w:pStyle w:val="3"/>
        <w:spacing w:line="244" w:lineRule="auto"/>
      </w:pPr>
    </w:p>
    <w:p w14:paraId="47CB2192">
      <w:pPr>
        <w:pStyle w:val="3"/>
        <w:spacing w:line="244" w:lineRule="auto"/>
      </w:pPr>
    </w:p>
    <w:p w14:paraId="5EDF6A7A">
      <w:pPr>
        <w:pStyle w:val="3"/>
        <w:spacing w:line="244" w:lineRule="auto"/>
      </w:pPr>
    </w:p>
    <w:p w14:paraId="738CABBA">
      <w:pPr>
        <w:pStyle w:val="3"/>
        <w:spacing w:line="244" w:lineRule="auto"/>
      </w:pPr>
    </w:p>
    <w:p w14:paraId="751BAF42">
      <w:pPr>
        <w:pStyle w:val="3"/>
        <w:spacing w:line="244" w:lineRule="auto"/>
      </w:pPr>
    </w:p>
    <w:p w14:paraId="4049F25E">
      <w:pPr>
        <w:pStyle w:val="3"/>
        <w:spacing w:line="244" w:lineRule="auto"/>
      </w:pPr>
    </w:p>
    <w:p w14:paraId="1E6A3D15">
      <w:pPr>
        <w:pStyle w:val="3"/>
        <w:spacing w:line="244" w:lineRule="auto"/>
      </w:pPr>
    </w:p>
    <w:p w14:paraId="6F2B2726">
      <w:pPr>
        <w:pStyle w:val="3"/>
        <w:spacing w:line="244" w:lineRule="auto"/>
      </w:pPr>
    </w:p>
    <w:p w14:paraId="0C34AE23">
      <w:pPr>
        <w:pStyle w:val="3"/>
        <w:spacing w:line="244" w:lineRule="auto"/>
      </w:pPr>
    </w:p>
    <w:p w14:paraId="53F3C8A1">
      <w:pPr>
        <w:pStyle w:val="3"/>
        <w:spacing w:line="244" w:lineRule="auto"/>
      </w:pPr>
    </w:p>
    <w:p w14:paraId="6A7E128D">
      <w:pPr>
        <w:pStyle w:val="3"/>
        <w:spacing w:line="244" w:lineRule="auto"/>
      </w:pPr>
    </w:p>
    <w:p w14:paraId="681B8AAB">
      <w:pPr>
        <w:pStyle w:val="3"/>
        <w:spacing w:line="245" w:lineRule="auto"/>
      </w:pPr>
    </w:p>
    <w:p w14:paraId="3181ECEF">
      <w:pPr>
        <w:pStyle w:val="3"/>
        <w:spacing w:line="245" w:lineRule="auto"/>
      </w:pPr>
    </w:p>
    <w:p w14:paraId="0ED7B614">
      <w:pPr>
        <w:pStyle w:val="3"/>
        <w:spacing w:line="245" w:lineRule="auto"/>
      </w:pPr>
    </w:p>
    <w:p w14:paraId="7A6D5E18">
      <w:pPr>
        <w:pStyle w:val="3"/>
        <w:spacing w:line="245" w:lineRule="auto"/>
      </w:pPr>
    </w:p>
    <w:p w14:paraId="41236E62">
      <w:pPr>
        <w:pStyle w:val="3"/>
        <w:spacing w:line="245" w:lineRule="auto"/>
      </w:pPr>
    </w:p>
    <w:p w14:paraId="60A87B2D">
      <w:pPr>
        <w:pStyle w:val="3"/>
        <w:spacing w:line="245" w:lineRule="auto"/>
      </w:pPr>
    </w:p>
    <w:p w14:paraId="53417205">
      <w:pPr>
        <w:pStyle w:val="3"/>
        <w:spacing w:line="245" w:lineRule="auto"/>
      </w:pPr>
    </w:p>
    <w:p w14:paraId="3212594E">
      <w:pPr>
        <w:pStyle w:val="3"/>
        <w:spacing w:line="245" w:lineRule="auto"/>
      </w:pPr>
    </w:p>
    <w:p w14:paraId="0915B8DC">
      <w:pPr>
        <w:pStyle w:val="3"/>
        <w:spacing w:line="245" w:lineRule="auto"/>
      </w:pPr>
    </w:p>
    <w:p w14:paraId="05134C80">
      <w:pPr>
        <w:pStyle w:val="3"/>
        <w:spacing w:line="245" w:lineRule="auto"/>
      </w:pPr>
    </w:p>
    <w:p w14:paraId="6F00C9E6">
      <w:pPr>
        <w:pStyle w:val="3"/>
        <w:spacing w:line="245" w:lineRule="auto"/>
      </w:pPr>
    </w:p>
    <w:p w14:paraId="5D067FA9">
      <w:pPr>
        <w:pStyle w:val="3"/>
        <w:spacing w:line="245" w:lineRule="auto"/>
      </w:pPr>
    </w:p>
    <w:p w14:paraId="600F4AD9">
      <w:pPr>
        <w:pStyle w:val="3"/>
        <w:spacing w:line="245" w:lineRule="auto"/>
      </w:pPr>
    </w:p>
    <w:p w14:paraId="49C8AB8F">
      <w:pPr>
        <w:pStyle w:val="3"/>
        <w:spacing w:line="245" w:lineRule="auto"/>
      </w:pPr>
    </w:p>
    <w:p w14:paraId="075E639D">
      <w:pPr>
        <w:pStyle w:val="3"/>
        <w:spacing w:line="245" w:lineRule="auto"/>
      </w:pPr>
    </w:p>
    <w:p w14:paraId="4FE4C37C">
      <w:pPr>
        <w:pStyle w:val="3"/>
        <w:spacing w:line="245" w:lineRule="auto"/>
      </w:pPr>
    </w:p>
    <w:p w14:paraId="6F068887">
      <w:pPr>
        <w:pStyle w:val="3"/>
        <w:spacing w:line="245" w:lineRule="auto"/>
      </w:pPr>
    </w:p>
    <w:p w14:paraId="389B5804">
      <w:pPr>
        <w:pStyle w:val="3"/>
        <w:spacing w:line="245" w:lineRule="auto"/>
      </w:pPr>
    </w:p>
    <w:p w14:paraId="65E0B65C">
      <w:pPr>
        <w:pStyle w:val="3"/>
        <w:spacing w:line="245" w:lineRule="auto"/>
      </w:pPr>
    </w:p>
    <w:p w14:paraId="69A1B453">
      <w:pPr>
        <w:pStyle w:val="3"/>
        <w:spacing w:line="245" w:lineRule="auto"/>
      </w:pPr>
    </w:p>
    <w:sectPr>
      <w:pgSz w:w="12053" w:h="16940"/>
      <w:pgMar w:top="1417" w:right="1417" w:bottom="1417" w:left="1701" w:header="850" w:footer="992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80985F6A-36DA-4276-8C0C-39B2AEECE02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AC36C20-0E5F-446E-8CD0-67229006FD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0458B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7EFF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511AD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511AD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31E451D"/>
    <w:rsid w:val="033E696D"/>
    <w:rsid w:val="177249E0"/>
    <w:rsid w:val="1D835562"/>
    <w:rsid w:val="212B00D9"/>
    <w:rsid w:val="221D4543"/>
    <w:rsid w:val="2676020B"/>
    <w:rsid w:val="28011B94"/>
    <w:rsid w:val="2A465F84"/>
    <w:rsid w:val="2ADE440E"/>
    <w:rsid w:val="2F326AD7"/>
    <w:rsid w:val="32221084"/>
    <w:rsid w:val="3E304B29"/>
    <w:rsid w:val="402B55A8"/>
    <w:rsid w:val="41B76DEB"/>
    <w:rsid w:val="434B5F61"/>
    <w:rsid w:val="4C8A4F44"/>
    <w:rsid w:val="51510BE7"/>
    <w:rsid w:val="5B9E711E"/>
    <w:rsid w:val="646D58E0"/>
    <w:rsid w:val="684B418A"/>
    <w:rsid w:val="6C4258A4"/>
    <w:rsid w:val="711F61B4"/>
    <w:rsid w:val="752244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autoSpaceDE w:val="0"/>
      <w:autoSpaceDN w:val="0"/>
      <w:adjustRightInd w:val="0"/>
      <w:ind w:left="420" w:hanging="420"/>
      <w:textAlignment w:val="baseline"/>
    </w:p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3509</Words>
  <Characters>3958</Characters>
  <TotalTime>1</TotalTime>
  <ScaleCrop>false</ScaleCrop>
  <LinksUpToDate>false</LinksUpToDate>
  <CharactersWithSpaces>4010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2025-05-04T16:22:00Z</dcterms:created>
  <dc:creator>Dell</dc:creator>
  <cp:lastModifiedBy>梨花雨凉</cp:lastModifiedBy>
  <dcterms:modified xsi:type="dcterms:W3CDTF">2025-05-26T05:24:01Z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2025-05-04T16:22:28Z</vt:filetime>
  </property>
  <property fmtid="{D5CDD505-2E9C-101B-9397-08002B2CF9AE}" pid="4" name="UsrData">
    <vt:lpwstr>681723c0bfc444001fff43dbwl</vt:lpwstr>
  </property>
  <property fmtid="{D5CDD505-2E9C-101B-9397-08002B2CF9AE}" pid="5" name="KSOTemplateDocerSaveRecord">
    <vt:lpwstr>eyJoZGlkIjoiNTc0YmUyMjQ2YzQ5NTgwMTZiNDdlMGExN2ExYzgyODYiLCJ1c2VySWQiOiI1NTk3MjIxNzQifQ==</vt:lpwstr>
  </property>
  <property fmtid="{D5CDD505-2E9C-101B-9397-08002B2CF9AE}" pid="6" name="KSOProductBuildVer">
    <vt:lpwstr>2052-12.1.0.21171</vt:lpwstr>
  </property>
  <property fmtid="{D5CDD505-2E9C-101B-9397-08002B2CF9AE}" pid="7" name="ICV">
    <vt:lpwstr>B725917DD9DF4082BABD32A3525CCCD7_12</vt:lpwstr>
  </property>
</Properties>
</file>